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LV-C[C7]-I[7-4-i-]-M[230] Award of contracts for the construction of a regional biomethane injection point and for an IT solution for its smart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Award of contracts for the construction of a regional biomethane injection point and for an IT solution for its smart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Notification of the award of contracts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Awarded contracts for the construction of a regional biomethane injection point and for an IT solution for the smart management of the injection point.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copy of the awarded contracts.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